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3A4F" w14:textId="45C9F974" w:rsidR="00884124" w:rsidRPr="00020428" w:rsidRDefault="00884124" w:rsidP="00020428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C2AFBA0" w14:textId="2220D455" w:rsidR="00884124" w:rsidRPr="00020428" w:rsidRDefault="00884124" w:rsidP="00020428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 xml:space="preserve">UCHWAŁA NR </w:t>
      </w:r>
      <w:r w:rsidR="00D52D4A" w:rsidRPr="00020428">
        <w:rPr>
          <w:rFonts w:ascii="Arial" w:hAnsi="Arial" w:cs="Arial"/>
          <w:sz w:val="24"/>
          <w:szCs w:val="24"/>
        </w:rPr>
        <w:t>XXXVI/345/2021</w:t>
      </w:r>
    </w:p>
    <w:p w14:paraId="48042162" w14:textId="77777777" w:rsidR="00884124" w:rsidRPr="00020428" w:rsidRDefault="00884124" w:rsidP="00020428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>RADY MIEJSKIEJ W KŁODZKU</w:t>
      </w:r>
    </w:p>
    <w:p w14:paraId="44230B4A" w14:textId="7073B71F" w:rsidR="00884124" w:rsidRPr="00020428" w:rsidRDefault="00884124" w:rsidP="00020428">
      <w:pPr>
        <w:autoSpaceDE w:val="0"/>
        <w:spacing w:after="0" w:line="480" w:lineRule="auto"/>
        <w:rPr>
          <w:rFonts w:ascii="Arial" w:hAnsi="Arial" w:cs="Arial"/>
          <w:sz w:val="24"/>
          <w:szCs w:val="24"/>
          <w:lang w:eastAsia="en-US"/>
        </w:rPr>
      </w:pPr>
      <w:r w:rsidRPr="00020428">
        <w:rPr>
          <w:rFonts w:ascii="Arial" w:hAnsi="Arial" w:cs="Arial"/>
          <w:sz w:val="24"/>
          <w:szCs w:val="24"/>
        </w:rPr>
        <w:t xml:space="preserve"> z dnia </w:t>
      </w:r>
      <w:r w:rsidR="006D5B5A" w:rsidRPr="00020428">
        <w:rPr>
          <w:rFonts w:ascii="Arial" w:hAnsi="Arial" w:cs="Arial"/>
          <w:sz w:val="24"/>
          <w:szCs w:val="24"/>
        </w:rPr>
        <w:t>28 października 2021 r.</w:t>
      </w:r>
    </w:p>
    <w:p w14:paraId="118DFB5E" w14:textId="4F26BBFB" w:rsidR="00884124" w:rsidRPr="00020428" w:rsidRDefault="00884124" w:rsidP="00020428">
      <w:pPr>
        <w:spacing w:after="0" w:line="480" w:lineRule="auto"/>
        <w:rPr>
          <w:rFonts w:ascii="Arial" w:hAnsi="Arial" w:cs="Arial"/>
          <w:sz w:val="24"/>
          <w:szCs w:val="24"/>
          <w:lang w:eastAsia="en-US"/>
        </w:rPr>
      </w:pPr>
      <w:r w:rsidRPr="00020428">
        <w:rPr>
          <w:rFonts w:ascii="Arial" w:hAnsi="Arial" w:cs="Arial"/>
          <w:sz w:val="24"/>
          <w:szCs w:val="24"/>
        </w:rPr>
        <w:t>w sprawie rozpatrzenia skargi na Burmistrza Miasta Kłodzka.</w:t>
      </w:r>
    </w:p>
    <w:p w14:paraId="504203FB" w14:textId="1C067922" w:rsidR="00884124" w:rsidRPr="00020428" w:rsidRDefault="00884124" w:rsidP="00020428">
      <w:pPr>
        <w:autoSpaceDE w:val="0"/>
        <w:spacing w:before="100" w:after="100" w:line="480" w:lineRule="auto"/>
        <w:rPr>
          <w:rFonts w:ascii="Arial" w:hAnsi="Arial" w:cs="Arial"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>Na podstawie art. 18 ust. 2 pkt 15 ustawy z dnia 8 marca 1990 r. o samorządzie gminnym (tekst jednolity Dz. U. z 2021 r. poz. 1372), w związku z § 57 ust. 3</w:t>
      </w:r>
      <w:r w:rsidRPr="000204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428">
        <w:rPr>
          <w:rFonts w:ascii="Arial" w:hAnsi="Arial" w:cs="Arial"/>
          <w:sz w:val="24"/>
          <w:szCs w:val="24"/>
        </w:rPr>
        <w:t>Statutu Gminy Miejskiej Kłodzko wprowadzonego uchwałą Rady Miejskiej w Kłodzku nr LX/469/2018 z dnia 30.10.2018 r. (Dziennik Urzędowy Województwa Dolnośląskiego z dnia 02.11.2018 r.</w:t>
      </w:r>
      <w:r w:rsidRPr="00020428">
        <w:rPr>
          <w:rFonts w:ascii="Arial" w:hAnsi="Arial" w:cs="Arial"/>
          <w:bCs/>
          <w:sz w:val="24"/>
          <w:szCs w:val="24"/>
        </w:rPr>
        <w:t xml:space="preserve"> poz. 5380</w:t>
      </w:r>
      <w:r w:rsidRPr="00020428">
        <w:rPr>
          <w:rFonts w:ascii="Arial" w:hAnsi="Arial" w:cs="Arial"/>
          <w:sz w:val="24"/>
          <w:szCs w:val="24"/>
        </w:rPr>
        <w:t xml:space="preserve">) oraz art. 229 pkt 3 ustawy z dnia 14 czerwca 1960 r. Kodeks postępowania administracyjnego (tekst jednolity Dz. U. z 2021 r. poz. 735,1491) Rada Miejska w Kłodzku uchwala, co następuje: </w:t>
      </w:r>
    </w:p>
    <w:p w14:paraId="7A54289A" w14:textId="09F7CD6D" w:rsidR="00884124" w:rsidRPr="00020428" w:rsidRDefault="00884124" w:rsidP="00020428">
      <w:pPr>
        <w:tabs>
          <w:tab w:val="left" w:pos="1365"/>
          <w:tab w:val="center" w:pos="4536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>§ 1</w:t>
      </w:r>
      <w:r w:rsidR="00020428" w:rsidRPr="00020428">
        <w:rPr>
          <w:rFonts w:ascii="Arial" w:hAnsi="Arial" w:cs="Arial"/>
          <w:sz w:val="24"/>
          <w:szCs w:val="24"/>
        </w:rPr>
        <w:t>.</w:t>
      </w:r>
      <w:r w:rsidR="00020428">
        <w:rPr>
          <w:rFonts w:ascii="Arial" w:hAnsi="Arial" w:cs="Arial"/>
          <w:sz w:val="24"/>
          <w:szCs w:val="24"/>
        </w:rPr>
        <w:t xml:space="preserve"> </w:t>
      </w:r>
      <w:r w:rsidRPr="00020428">
        <w:rPr>
          <w:rFonts w:ascii="Arial" w:hAnsi="Arial" w:cs="Arial"/>
          <w:sz w:val="24"/>
          <w:szCs w:val="24"/>
        </w:rPr>
        <w:t xml:space="preserve">Po rozpatrzeniu skargi złożonej w dniu 29 września 2021 r. przez radnego Pana Stanisława Bartczaka na Burmistrza Miasta Kłodzka w sprawie odmowy udostępnienia dokumentów z postępowania podatkowego oraz po zapoznaniu się ze stanowiskiem Komisji Skarg, Wniosków i Petycji, Rada Miejska w Kłodzku uznaje skargę za bezzasadną. </w:t>
      </w:r>
    </w:p>
    <w:p w14:paraId="5C70D5BC" w14:textId="7E214638" w:rsidR="00884124" w:rsidRPr="00020428" w:rsidRDefault="00884124" w:rsidP="0002042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>§ 2</w:t>
      </w:r>
      <w:r w:rsidR="00020428" w:rsidRPr="00020428">
        <w:rPr>
          <w:rFonts w:ascii="Arial" w:hAnsi="Arial" w:cs="Arial"/>
          <w:sz w:val="24"/>
          <w:szCs w:val="24"/>
        </w:rPr>
        <w:t xml:space="preserve">. </w:t>
      </w:r>
      <w:r w:rsidRPr="00020428">
        <w:rPr>
          <w:rFonts w:ascii="Arial" w:hAnsi="Arial" w:cs="Arial"/>
          <w:sz w:val="24"/>
          <w:szCs w:val="24"/>
        </w:rPr>
        <w:t>Wykonanie uchwały powierza się Przewodniczącej Rady Miejskiej w Kłodzku.</w:t>
      </w:r>
    </w:p>
    <w:p w14:paraId="501E0F45" w14:textId="4B3EA908" w:rsidR="00884124" w:rsidRPr="00020428" w:rsidRDefault="00884124" w:rsidP="00020428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020428">
        <w:rPr>
          <w:rFonts w:ascii="Arial" w:hAnsi="Arial" w:cs="Arial"/>
          <w:sz w:val="24"/>
          <w:szCs w:val="24"/>
        </w:rPr>
        <w:t>§ 3</w:t>
      </w:r>
      <w:r w:rsidR="00020428" w:rsidRPr="00020428">
        <w:rPr>
          <w:rFonts w:ascii="Arial" w:hAnsi="Arial" w:cs="Arial"/>
          <w:sz w:val="24"/>
          <w:szCs w:val="24"/>
        </w:rPr>
        <w:t>.</w:t>
      </w:r>
      <w:r w:rsidR="000204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428">
        <w:rPr>
          <w:rFonts w:ascii="Arial" w:hAnsi="Arial" w:cs="Arial"/>
          <w:sz w:val="24"/>
          <w:szCs w:val="24"/>
        </w:rPr>
        <w:t>Uchwała wchodzi w życie z dniem podjęcia.</w:t>
      </w:r>
    </w:p>
    <w:p w14:paraId="041C8DA8" w14:textId="5F3F2DD2" w:rsidR="005D7D12" w:rsidRPr="00020428" w:rsidRDefault="00020428" w:rsidP="00020428">
      <w:pPr>
        <w:suppressAutoHyphens/>
        <w:autoSpaceDN w:val="0"/>
        <w:spacing w:after="0" w:line="480" w:lineRule="auto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Podpisane przez: </w:t>
      </w:r>
      <w:r w:rsidR="00884124" w:rsidRPr="00020428">
        <w:rPr>
          <w:rFonts w:ascii="Arial" w:eastAsia="Calibri" w:hAnsi="Arial" w:cs="Arial"/>
          <w:sz w:val="24"/>
          <w:szCs w:val="24"/>
          <w:lang w:eastAsia="en-US"/>
        </w:rPr>
        <w:t>Przewodniczący Komisji Skarg, Wniosków i Petycji Rady Miejskiej w Kłodzku Adam Kwas</w:t>
      </w:r>
    </w:p>
    <w:p w14:paraId="6253077F" w14:textId="15CDC08F" w:rsidR="005D7D12" w:rsidRPr="00020428" w:rsidRDefault="005D7D12" w:rsidP="00020428">
      <w:pPr>
        <w:spacing w:after="0" w:line="480" w:lineRule="auto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>U Z A S A D N I E N I E</w:t>
      </w:r>
    </w:p>
    <w:p w14:paraId="26536CE7" w14:textId="1CE76390" w:rsidR="005D7D12" w:rsidRPr="00020428" w:rsidRDefault="005D7D12" w:rsidP="00020428">
      <w:pPr>
        <w:spacing w:after="0" w:line="480" w:lineRule="auto"/>
        <w:outlineLvl w:val="2"/>
        <w:rPr>
          <w:rFonts w:ascii="Arial" w:eastAsia="Times New Roman" w:hAnsi="Arial" w:cs="Arial"/>
          <w:color w:val="212529"/>
          <w:sz w:val="24"/>
          <w:szCs w:val="24"/>
        </w:rPr>
      </w:pPr>
      <w:r w:rsidRPr="00020428">
        <w:rPr>
          <w:rFonts w:ascii="Arial" w:eastAsia="Times New Roman" w:hAnsi="Arial" w:cs="Arial"/>
          <w:color w:val="212529"/>
          <w:sz w:val="24"/>
          <w:szCs w:val="24"/>
        </w:rPr>
        <w:t xml:space="preserve">W dniu 29 września 2021 roku radny p. Stanisław Bartczak (zwany dalej Skarżącym) złożył skargę na działalność Burmistrza Miasta Kłodzka zarzucając Burmistrzowi naruszenie prawa z powodu odmowy udzielenia informacji dotyczącej szczegółów </w:t>
      </w:r>
      <w:r w:rsidRPr="00020428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umorzenia podatku od nieruchomości Firmy S.C. sp. z o.o., żądając od Burmistrza wydania kserokopii wniosku ww. firmy oraz decyzji Burmistrza w sprawie umorzenia podatku tejże firmie. </w:t>
      </w:r>
    </w:p>
    <w:p w14:paraId="6985A49F" w14:textId="30E322B9" w:rsidR="005D7D12" w:rsidRPr="00020428" w:rsidRDefault="005D7D12" w:rsidP="00020428">
      <w:pPr>
        <w:spacing w:after="0" w:line="480" w:lineRule="auto"/>
        <w:outlineLvl w:val="2"/>
        <w:rPr>
          <w:rFonts w:ascii="Arial" w:eastAsia="Times New Roman" w:hAnsi="Arial" w:cs="Arial"/>
          <w:color w:val="212529"/>
          <w:sz w:val="24"/>
          <w:szCs w:val="24"/>
        </w:rPr>
      </w:pPr>
      <w:r w:rsidRPr="00020428">
        <w:rPr>
          <w:rFonts w:ascii="Arial" w:eastAsia="Times New Roman" w:hAnsi="Arial" w:cs="Arial"/>
          <w:color w:val="212529"/>
          <w:sz w:val="24"/>
          <w:szCs w:val="24"/>
        </w:rPr>
        <w:t xml:space="preserve">Komisja Skarg, Wniosków i Petycji Rady Miejskiej w Kłodzku nie wypowiedziała się co do zasadności skargi, uznając na posiedzeniu w dniu 19 października Radę Miejską jako organ niewłaściwy do jej rozpoznania. Po uzyskaniu opinii prawnej co do powyższego rozstrzygnięcia, kwestionującej zasadność przekazania skargi do rozpoznania wg właściwości w postępowaniu podatkowym, Komisja, uwzględniając tę opinię, na kolejnym posiedzeniu w dniu 26 października b.r. wziąwszy pod uwagę stan faktyczny, uznaje skargę za bezzasadną. </w:t>
      </w:r>
    </w:p>
    <w:p w14:paraId="47094546" w14:textId="166EF75B" w:rsidR="005D7D12" w:rsidRPr="00020428" w:rsidRDefault="005D7D12" w:rsidP="00020428">
      <w:pPr>
        <w:spacing w:after="0" w:line="480" w:lineRule="auto"/>
        <w:ind w:firstLine="708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Skarżący powołując się na obowiązki i uprawnienia radnego, uregulowane w art. 24 pkt. 2 ustawy o samorządzie gminnym (Dz. U. 2021 poz. 1372 </w:t>
      </w:r>
      <w:proofErr w:type="spellStart"/>
      <w:r w:rsidRPr="00020428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. z dnia 27. 07. 2021 – dalej USG). </w:t>
      </w:r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jak również przepisy ustawy o finansach publicznych (</w:t>
      </w:r>
      <w:proofErr w:type="spellStart"/>
      <w:r w:rsidRPr="00020428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. Dz.U. z 2021 r. poz. 305 – dalej UFP),  zarzuca Burmistrzowi naruszenie </w:t>
      </w:r>
      <w:r w:rsidR="00FD674A"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uprawnień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radnego do dostępu do informacji publicznej. Uprawnienia takie daje  art. 34 ust. 6 UFP, stanowiący, iż zasada jawności gospodarowania środkami publicznymi realizowana jest przez zapewnianie radnym danej jednostki samorządu terytorialnego dostępu do: dowodów księgowych, dokumentów inwentaryzacyjnych</w:t>
      </w:r>
      <w:r w:rsidR="00FD674A"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(z zachowaniem przepisów ustaw o rachunkowości oraz o ochronie danych osobowych) informacji o wynikach przeprowadzonych kontroli gospodarki finansowej, sprawozdań z wykonania planu audytu za rok poprzedni. </w:t>
      </w:r>
    </w:p>
    <w:p w14:paraId="49B35C48" w14:textId="5E3ABF14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W art. 37 ust. 2 lit. f. UFP nałożono również obowiązek podania  do publicznej wiadomości informacji obejmujących wykaz osób prawnych i fizycznych oraz jednostek nie posiadających osobowości prawnej, którym to w zakresie podatków lub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opłat udzielono ulg, </w:t>
      </w:r>
      <w:proofErr w:type="spellStart"/>
      <w:r w:rsidRPr="00020428">
        <w:rPr>
          <w:rFonts w:ascii="Arial" w:eastAsiaTheme="minorHAnsi" w:hAnsi="Arial" w:cs="Arial"/>
          <w:sz w:val="24"/>
          <w:szCs w:val="24"/>
          <w:lang w:eastAsia="en-US"/>
        </w:rPr>
        <w:t>odroczeń</w:t>
      </w:r>
      <w:proofErr w:type="spellEnd"/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, umorzeń w kwotach przekraczających 500 zł wraz ze wskazaniem wielkości umorzonych kwot i przyczyn umorzeń. </w:t>
      </w:r>
    </w:p>
    <w:p w14:paraId="00E8056F" w14:textId="7DDCB693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Gmina Miejska Kłodzko zrealizowała ten obowiązek, a ww. wykaz dostępny jest w Biuletynie Informacji Publicznej Urzędu Miasta w Kłodzku, obejmując swoim zakresem zarówno nazwę firmy, której dotyczy skarga,  jak dokładne kwoty umorzeń i przyczynę umorzenia. </w:t>
      </w:r>
    </w:p>
    <w:p w14:paraId="60252D8B" w14:textId="77777777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>Ograniczenia w dostępie do informacji publicznej wynikające z ustawy o dostępie do informacji publicznej  wobec radnych nie mają zastosowania. Uprawnienia radnego w tym zakresie ogranicza  art. 24 ust. 2 USG (brak związku z wykonywaniem mandatu radnego oraz dobra osobiste innych osób oraz przepisy o tajemnicy prawnie chronionej).</w:t>
      </w:r>
    </w:p>
    <w:p w14:paraId="0D510C82" w14:textId="17552ED3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>W kontekście niniejszego stanu faktycznego szczególnie istotne znaczenie ma tajemnica prawnie chroniona. Jedną z tajemnic ustawowo chronionych jest tajemnica skarbowa, która obejmuje indywidualne dane zawarte w deklaracji oraz innych dokumentach składanych przez podatników, płatników lub inkasentów, a także dotyczy danych zawartych w aktach postępowania podatkowego (art. 293 § 1 i § 2 pkt 3 ustawy Ordynacja podatkowa –</w:t>
      </w:r>
      <w:r w:rsidRPr="0002042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020428">
        <w:rPr>
          <w:rFonts w:ascii="Arial" w:eastAsia="Times New Roman" w:hAnsi="Arial" w:cs="Arial"/>
          <w:color w:val="212529"/>
          <w:sz w:val="24"/>
          <w:szCs w:val="24"/>
        </w:rPr>
        <w:t>t.j</w:t>
      </w:r>
      <w:proofErr w:type="spellEnd"/>
      <w:r w:rsidRPr="00020428">
        <w:rPr>
          <w:rFonts w:ascii="Arial" w:eastAsia="Times New Roman" w:hAnsi="Arial" w:cs="Arial"/>
          <w:color w:val="212529"/>
          <w:sz w:val="24"/>
          <w:szCs w:val="24"/>
        </w:rPr>
        <w:t>. Dz. U. 2021. poz. 1540)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. Do przestrzegania tajemnicy skarbowej obowiązani są m.in. wójt, burmistrz, prezydent oraz pracownicy urzędu go obsługującego, co wynika wprost z art. 294 § 1 pkt 2 Ordynacji podatkowej.</w:t>
      </w:r>
    </w:p>
    <w:p w14:paraId="7959A274" w14:textId="6135B714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Jak wynika z orzecznictwa, w szczególności wyroku Naczelnego Sądu Administracyjnego z dnia 21 lipca 2017 r. I OSK 246/17: Obejmują one bowiem zawsze dane odnoszące się do konkretnego podmiotu (w tym sensie są danymi indywidualnymi) i dotyczą źródeł i wysokości osiąganych przychodów oraz rodzajów i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wysokości poniesionych wydatków (kosztów), także opłaconych zaliczek na podatek. Dane te obejmują również określenie danych osobowych podatnika (imiona i nazwisko, nazwisko rodowe, imiona rodziców), datę urodzenia, miejsce zamieszkania i miejsce wykonywania działalności gospodarczej lub miejsce zatrudnienia (nauki), numer ewidencyjny (PESEL), numer identyfikacji podatkowej (NIP), stan cywilny, osoby pozostające na utrzymaniu podatnika, dane dotyczące spadkodawcy, zapisodawcy, pożyczkodawcy itp. </w:t>
      </w:r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(por. C. Kosikowski (w:) C. Kosikowski, L. </w:t>
      </w:r>
      <w:proofErr w:type="spellStart"/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Etel</w:t>
      </w:r>
      <w:proofErr w:type="spellEnd"/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i inni: Ordynacja podatkowa, Warszawa 2013, s. 1474)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. Ponadto, tajemnica skarbowa stanowi szczególny rodzaj tajemnicy służbowej, zatem jej granice muszą być zakreślone szeroko. Z opodatkowaniem związane są bowiem zjawiska gospodarcze, a niejednokrotnie wiąże się ono z indywidualnymi przejawami życia jednostki, co wymaga ścisłego przestrzegania zawodowej dyskrecji dotyczącej wszelkich informacji, jakie pozyskiwane są dla potrzeb stosowania prawa podatkowego </w:t>
      </w:r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(por. R. Mastalski (w:) B. Adamiak, J. Borkowski, R. Mastalski, J. Zubrzycki, Ordynacja podatkowa, Komentarz, 2011, str. 1162)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. Do takich informacji należy niewątpliwie zaliczyć okoliczności faktyczne będące podstawą umorzenia zaległości podatkowych, które zgodnie z art. 67a Ordynacji podatkowej jest dopuszczalne w przypadkach uzasadnionych ważnym interesem podatnika lub interesem publicznym.</w:t>
      </w:r>
    </w:p>
    <w:p w14:paraId="7EBA2410" w14:textId="64707706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W orzecznictwie podnosi się również, że z przepisu art. 293 Ordynacji podatkowej wynika zakaz udostępniania danych indywidualnych podatników, a także danych zawartych w dokumentacji rachunkowej organu. Udzielane mogą być jedynie informacje zbiorcze o podatnikach. W konsekwencji nie mogą być też ujawniane dane zawarte w rozstrzygnięciu organu podatkowego w sprawie indywidualnego wymiaru podatku przez konkretnego podatnika, a nawet dane dotyczące numerów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poszczególnych spraw podatkowych, dat wszczęcia i zakończenia indywidualnych postępowań podatkowych, gdyż są one danymi, o których mowa w art. 293 § 2 ww. ustawy i stanowią tajemnicę skarbową” </w:t>
      </w:r>
      <w:r w:rsidRPr="0002042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(por. wyroki Wojewódzkiego Sądu Administracyjnego we Wrocławiu z dnia 27 czerwca 2012 r., sygn. akt IV SA/WR 154/12 oraz Wojewódzkiego Sądu Administracyjnego w Warszawie z dnia 26 maja 2010 r., sygn. akt II SA/WA 414/10, a także wyrok Wojewódzkiego Sądu Administracyjnego siedziba w Gdański z dnia 31 marca 2014 r. II SAB/Gd 3/14).</w:t>
      </w:r>
    </w:p>
    <w:p w14:paraId="4606779E" w14:textId="7518698C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Poza tym przepisy te należy również interpretować w kontekście art. 298 i art. 299 § 3 Ordynacji podatkowej zawierających katalog podmiotów, którym takie informacje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są udzielane. W meritum niniejszej sprawy istotne jest, że wskazywany powyżej art. 37 ust. 1 pkt 2 lit. f) ustawy o finansach publicznych szczegółowo określa zakres informacji do jakich </w:t>
      </w:r>
      <w:r w:rsidR="00FD674A"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opublikowania 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zobowiązana jest jednostka samorządu terytorialnego w przedmiocie udzielanych ulg</w:t>
      </w:r>
      <w:r w:rsidR="00FD674A" w:rsidRPr="00020428">
        <w:rPr>
          <w:rFonts w:ascii="Arial" w:eastAsiaTheme="minorHAnsi" w:hAnsi="Arial" w:cs="Arial"/>
          <w:sz w:val="24"/>
          <w:szCs w:val="24"/>
          <w:lang w:eastAsia="en-US"/>
        </w:rPr>
        <w:t>  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>i zwolnień podatkowych. Oznacza to więc, że dane na temat umorzeń, przekraczających wskazany w ww. przepisie zakres, stanowią w dalszym ciągu tajemnicę skarbową. Zaznaczyć należy, że zakres wniosku radnego Pana Stanisława Bartczaka wykracza poza możliwe</w:t>
      </w:r>
      <w:r w:rsidR="00FD674A" w:rsidRPr="00020428">
        <w:rPr>
          <w:rFonts w:ascii="Arial" w:eastAsiaTheme="minorHAnsi" w:hAnsi="Arial" w:cs="Arial"/>
          <w:sz w:val="24"/>
          <w:szCs w:val="24"/>
          <w:lang w:eastAsia="en-US"/>
        </w:rPr>
        <w:t>  </w:t>
      </w: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do udzielenia radnemu informacje. Oczekiwane przez niego informacje, nawet udostępnione wyłącznie na jego użytek, dotyczyłyby bowiem takich danych, do jakich nie byłoby on uprawniony. </w:t>
      </w:r>
    </w:p>
    <w:p w14:paraId="0127C158" w14:textId="05306C5A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>Burmistrz nie ma obowiązku udostępnienia dokumentów będących przedmiotem wniosku radnego Pana Stanisława Bartczaka. Powoływane przez radnego przepisy, w szczególności te określone w ustawie o finansach publicznych, nie nakładają na Burmistrza Miasta Kłodzka obowiązku ich udostępnienia. Udostępnienie tych dokumentów stanowiłoby naruszenie tajemnicy skarbowej. Przedstawione w skardze zarzuty są bezpodstawne zatem skargę powinno uznać się za bezzasadną.</w:t>
      </w:r>
    </w:p>
    <w:p w14:paraId="6D30F162" w14:textId="77777777" w:rsidR="005D7D12" w:rsidRPr="00020428" w:rsidRDefault="005D7D12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44144D" w14:textId="5A097F65" w:rsidR="005D7D12" w:rsidRPr="00020428" w:rsidRDefault="005D7D12" w:rsidP="00020428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Za Komisję Skarg, Wniosków i Petycji, w oparciu o opinię prawną sporządzoną przez Panią </w:t>
      </w:r>
      <w:r w:rsidRPr="00020428">
        <w:rPr>
          <w:rFonts w:ascii="Arial" w:hAnsi="Arial" w:cs="Arial"/>
          <w:sz w:val="24"/>
          <w:szCs w:val="24"/>
        </w:rPr>
        <w:t>Jagodę Biernat</w:t>
      </w:r>
      <w:r w:rsidRPr="00020428">
        <w:rPr>
          <w:rFonts w:ascii="Arial" w:eastAsiaTheme="minorHAnsi" w:hAnsi="Arial" w:cs="Arial"/>
          <w:sz w:val="24"/>
          <w:szCs w:val="24"/>
        </w:rPr>
        <w:t xml:space="preserve"> </w:t>
      </w:r>
      <w:r w:rsidRPr="00020428">
        <w:rPr>
          <w:rFonts w:ascii="Arial" w:hAnsi="Arial" w:cs="Arial"/>
          <w:sz w:val="24"/>
          <w:szCs w:val="24"/>
        </w:rPr>
        <w:t>aplikant adwokacki</w:t>
      </w:r>
      <w:r w:rsidRPr="00020428">
        <w:rPr>
          <w:rFonts w:ascii="Arial" w:eastAsiaTheme="minorHAnsi" w:hAnsi="Arial" w:cs="Arial"/>
          <w:sz w:val="24"/>
          <w:szCs w:val="24"/>
        </w:rPr>
        <w:t xml:space="preserve"> z </w:t>
      </w:r>
      <w:r w:rsidRPr="00020428">
        <w:rPr>
          <w:rFonts w:ascii="Arial" w:hAnsi="Arial" w:cs="Arial"/>
          <w:sz w:val="24"/>
          <w:szCs w:val="24"/>
        </w:rPr>
        <w:t>Kancelarii Adwokackiej</w:t>
      </w:r>
      <w:r w:rsidRPr="00020428">
        <w:rPr>
          <w:rFonts w:ascii="Arial" w:eastAsiaTheme="minorHAnsi" w:hAnsi="Arial" w:cs="Arial"/>
          <w:sz w:val="24"/>
          <w:szCs w:val="24"/>
        </w:rPr>
        <w:t xml:space="preserve"> </w:t>
      </w:r>
      <w:r w:rsidRPr="00020428">
        <w:rPr>
          <w:rFonts w:ascii="Arial" w:hAnsi="Arial" w:cs="Arial"/>
          <w:sz w:val="24"/>
          <w:szCs w:val="24"/>
        </w:rPr>
        <w:t xml:space="preserve">Adwokat Mateusz Cyma, z siedzibą we Wrocławiu: </w:t>
      </w:r>
    </w:p>
    <w:p w14:paraId="3866F7F9" w14:textId="5D364A4E" w:rsidR="005D7D12" w:rsidRPr="00020428" w:rsidRDefault="00020428" w:rsidP="00020428">
      <w:pPr>
        <w:spacing w:after="16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Podpisane przez: </w:t>
      </w:r>
      <w:r w:rsidR="005D7D12" w:rsidRPr="00020428">
        <w:rPr>
          <w:rFonts w:ascii="Arial" w:eastAsiaTheme="minorHAnsi" w:hAnsi="Arial" w:cs="Arial"/>
          <w:sz w:val="24"/>
          <w:szCs w:val="24"/>
          <w:lang w:eastAsia="en-US"/>
        </w:rPr>
        <w:t xml:space="preserve">Adam Kwas – Przewodniczący Komisji </w:t>
      </w:r>
    </w:p>
    <w:p w14:paraId="39ED5E9A" w14:textId="77777777" w:rsidR="005D7D12" w:rsidRPr="00020428" w:rsidRDefault="005D7D12" w:rsidP="00020428">
      <w:pPr>
        <w:spacing w:line="480" w:lineRule="auto"/>
        <w:rPr>
          <w:rFonts w:ascii="Arial" w:hAnsi="Arial" w:cs="Arial"/>
          <w:sz w:val="24"/>
          <w:szCs w:val="24"/>
        </w:rPr>
      </w:pPr>
    </w:p>
    <w:p w14:paraId="16D52980" w14:textId="77777777" w:rsidR="004D718B" w:rsidRPr="00020428" w:rsidRDefault="004D718B" w:rsidP="0002042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D718B" w:rsidRPr="0002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92"/>
    <w:rsid w:val="00020428"/>
    <w:rsid w:val="004D718B"/>
    <w:rsid w:val="005D7D12"/>
    <w:rsid w:val="006D5B5A"/>
    <w:rsid w:val="00884124"/>
    <w:rsid w:val="00A51792"/>
    <w:rsid w:val="00D52D4A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06AE"/>
  <w15:chartTrackingRefBased/>
  <w15:docId w15:val="{1F37A3B1-0AE4-4D70-BC28-30490B8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12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1273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8</cp:revision>
  <cp:lastPrinted>2021-10-26T11:21:00Z</cp:lastPrinted>
  <dcterms:created xsi:type="dcterms:W3CDTF">2021-10-21T06:32:00Z</dcterms:created>
  <dcterms:modified xsi:type="dcterms:W3CDTF">2021-11-02T11:10:00Z</dcterms:modified>
</cp:coreProperties>
</file>